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3A25E8">
        <w:rPr>
          <w:sz w:val="20"/>
        </w:rPr>
        <w:t>1</w:t>
      </w:r>
      <w:r w:rsidR="00E52326">
        <w:rPr>
          <w:sz w:val="20"/>
        </w:rPr>
        <w:t>9</w:t>
      </w:r>
      <w:r w:rsidR="003A25E8">
        <w:rPr>
          <w:sz w:val="20"/>
        </w:rPr>
        <w:t>.08.</w:t>
      </w:r>
      <w:r w:rsidR="00177BC4" w:rsidRPr="00D86ABB">
        <w:rPr>
          <w:sz w:val="20"/>
        </w:rPr>
        <w:t xml:space="preserve">2015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E52326">
        <w:rPr>
          <w:sz w:val="20"/>
        </w:rPr>
        <w:t>790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E52326">
        <w:rPr>
          <w:szCs w:val="28"/>
        </w:rPr>
        <w:t>Ленинградская</w:t>
      </w:r>
      <w:r>
        <w:rPr>
          <w:szCs w:val="28"/>
        </w:rPr>
        <w:t>, д.</w:t>
      </w:r>
      <w:r w:rsidR="00E52326">
        <w:rPr>
          <w:szCs w:val="28"/>
        </w:rPr>
        <w:t>16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C7407E">
        <w:rPr>
          <w:szCs w:val="24"/>
        </w:rPr>
        <w:t>1</w:t>
      </w:r>
      <w:r w:rsidR="00E52326">
        <w:rPr>
          <w:szCs w:val="24"/>
        </w:rPr>
        <w:t>9</w:t>
      </w:r>
      <w:r w:rsidR="00C7407E">
        <w:rPr>
          <w:szCs w:val="24"/>
        </w:rPr>
        <w:t>.08</w:t>
      </w:r>
      <w:r w:rsidR="007907DA">
        <w:rPr>
          <w:szCs w:val="24"/>
        </w:rPr>
        <w:t>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C7407E">
        <w:rPr>
          <w:szCs w:val="24"/>
        </w:rPr>
        <w:t>7</w:t>
      </w:r>
      <w:r w:rsidR="00E52326">
        <w:rPr>
          <w:szCs w:val="24"/>
        </w:rPr>
        <w:t>90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E52326">
        <w:rPr>
          <w:szCs w:val="28"/>
        </w:rPr>
        <w:t>Ленинградская</w:t>
      </w:r>
      <w:r>
        <w:rPr>
          <w:szCs w:val="28"/>
        </w:rPr>
        <w:t>, д.</w:t>
      </w:r>
      <w:r w:rsidR="00E52326">
        <w:rPr>
          <w:szCs w:val="28"/>
        </w:rPr>
        <w:t>16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7407E">
        <w:rPr>
          <w:szCs w:val="24"/>
        </w:rPr>
        <w:t>2</w:t>
      </w:r>
      <w:r w:rsidR="00E52326">
        <w:rPr>
          <w:szCs w:val="24"/>
        </w:rPr>
        <w:t>8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</w:t>
      </w:r>
      <w:r w:rsidR="00E52326">
        <w:rPr>
          <w:szCs w:val="24"/>
        </w:rPr>
        <w:t>8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</w:t>
      </w:r>
      <w:r w:rsidR="00E52326">
        <w:rPr>
          <w:szCs w:val="24"/>
        </w:rPr>
        <w:t>8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</w:t>
      </w:r>
      <w:r w:rsidR="00E52326">
        <w:rPr>
          <w:szCs w:val="24"/>
        </w:rPr>
        <w:t>8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FA4402">
        <w:rPr>
          <w:szCs w:val="24"/>
        </w:rPr>
        <w:t>сентября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7407E">
              <w:rPr>
                <w:szCs w:val="24"/>
              </w:rPr>
              <w:t>2</w:t>
            </w:r>
            <w:r w:rsidR="00E52326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» </w:t>
            </w:r>
            <w:r w:rsidR="00541D22">
              <w:rPr>
                <w:szCs w:val="24"/>
              </w:rPr>
              <w:t>сентября</w:t>
            </w:r>
          </w:p>
          <w:p w:rsidR="00610EB9" w:rsidRPr="002E3005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7407E">
              <w:rPr>
                <w:szCs w:val="24"/>
              </w:rPr>
              <w:t>2</w:t>
            </w:r>
            <w:r w:rsidR="00E52326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» </w:t>
            </w:r>
            <w:r w:rsidR="00541D22">
              <w:rPr>
                <w:szCs w:val="24"/>
              </w:rPr>
              <w:t>сентября</w:t>
            </w:r>
          </w:p>
          <w:p w:rsidR="00610EB9" w:rsidRPr="002E3005" w:rsidRDefault="00E409E0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418D1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7407E">
              <w:rPr>
                <w:szCs w:val="24"/>
              </w:rPr>
              <w:t>2</w:t>
            </w:r>
            <w:r w:rsidR="00E52326">
              <w:rPr>
                <w:szCs w:val="24"/>
              </w:rPr>
              <w:t>8</w:t>
            </w:r>
            <w:r w:rsidR="00610EB9" w:rsidRPr="002E3005">
              <w:rPr>
                <w:szCs w:val="24"/>
              </w:rPr>
              <w:t xml:space="preserve">» </w:t>
            </w:r>
            <w:r w:rsidR="001418D1">
              <w:rPr>
                <w:szCs w:val="24"/>
              </w:rPr>
              <w:t>сентября</w:t>
            </w:r>
          </w:p>
          <w:p w:rsidR="00610EB9" w:rsidRPr="002E3005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E52326">
              <w:rPr>
                <w:szCs w:val="28"/>
              </w:rPr>
              <w:t>Ленинградская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16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18"/>
        <w:gridCol w:w="648"/>
        <w:gridCol w:w="648"/>
        <w:gridCol w:w="648"/>
        <w:gridCol w:w="824"/>
        <w:gridCol w:w="648"/>
        <w:gridCol w:w="648"/>
        <w:gridCol w:w="435"/>
        <w:gridCol w:w="435"/>
        <w:gridCol w:w="911"/>
        <w:gridCol w:w="822"/>
        <w:gridCol w:w="516"/>
        <w:gridCol w:w="505"/>
        <w:gridCol w:w="567"/>
        <w:gridCol w:w="567"/>
        <w:gridCol w:w="567"/>
        <w:gridCol w:w="567"/>
        <w:gridCol w:w="505"/>
        <w:gridCol w:w="505"/>
        <w:gridCol w:w="11"/>
        <w:gridCol w:w="930"/>
        <w:gridCol w:w="924"/>
      </w:tblGrid>
      <w:tr w:rsidR="00026A94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7227A9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7227A9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7227A9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E52326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52326">
              <w:rPr>
                <w:szCs w:val="28"/>
              </w:rPr>
              <w:t>Ленинградская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16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D94D5C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10EB9" w:rsidRPr="004E0137" w:rsidRDefault="007227A9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4" w:type="dxa"/>
            <w:vAlign w:val="center"/>
          </w:tcPr>
          <w:p w:rsidR="00610EB9" w:rsidRPr="004E0137" w:rsidRDefault="007227A9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171,20</w:t>
            </w:r>
          </w:p>
        </w:tc>
        <w:tc>
          <w:tcPr>
            <w:tcW w:w="648" w:type="dxa"/>
            <w:vAlign w:val="center"/>
          </w:tcPr>
          <w:p w:rsidR="000058C3" w:rsidRPr="004E0137" w:rsidRDefault="007227A9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7227A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27734,40</w:t>
            </w:r>
          </w:p>
        </w:tc>
        <w:tc>
          <w:tcPr>
            <w:tcW w:w="860" w:type="dxa"/>
            <w:vAlign w:val="center"/>
          </w:tcPr>
          <w:p w:rsidR="00610EB9" w:rsidRPr="004E0137" w:rsidRDefault="007227A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2311,20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DA435C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24653,76</w:t>
            </w:r>
          </w:p>
        </w:tc>
        <w:tc>
          <w:tcPr>
            <w:tcW w:w="964" w:type="dxa"/>
            <w:vAlign w:val="center"/>
          </w:tcPr>
          <w:p w:rsidR="00610EB9" w:rsidRPr="005077CD" w:rsidRDefault="00DA435C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2054,48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B111BB" w:rsidRPr="00B111BB">
        <w:rPr>
          <w:b/>
          <w:szCs w:val="24"/>
        </w:rPr>
        <w:t>13,50</w:t>
      </w:r>
      <w:r w:rsidR="002B7C63">
        <w:rPr>
          <w:szCs w:val="24"/>
        </w:rPr>
        <w:t xml:space="preserve"> 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DA435C">
        <w:rPr>
          <w:szCs w:val="24"/>
        </w:rPr>
        <w:t>2682,84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B12CCD">
        <w:rPr>
          <w:szCs w:val="28"/>
        </w:rPr>
        <w:t>Ленинградская</w:t>
      </w:r>
      <w:r>
        <w:rPr>
          <w:szCs w:val="28"/>
        </w:rPr>
        <w:t>, д.</w:t>
      </w:r>
      <w:r w:rsidR="00B12CCD">
        <w:rPr>
          <w:szCs w:val="28"/>
        </w:rPr>
        <w:t>16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B12CCD">
        <w:rPr>
          <w:szCs w:val="28"/>
        </w:rPr>
        <w:t>Ленинградская</w:t>
      </w:r>
      <w:r>
        <w:rPr>
          <w:szCs w:val="28"/>
        </w:rPr>
        <w:t>, д.</w:t>
      </w:r>
      <w:r w:rsidR="00B12CCD">
        <w:rPr>
          <w:szCs w:val="28"/>
        </w:rPr>
        <w:t>16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B12CCD">
        <w:rPr>
          <w:szCs w:val="24"/>
          <w:u w:val="single"/>
        </w:rPr>
        <w:t>Ленинградская</w:t>
      </w:r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16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49093D">
        <w:rPr>
          <w:b/>
        </w:rPr>
        <w:t>Ленинградская</w:t>
      </w:r>
      <w:r w:rsidR="005F2772">
        <w:rPr>
          <w:b/>
        </w:rPr>
        <w:t>, д.</w:t>
      </w:r>
      <w:r w:rsidR="0049093D">
        <w:rPr>
          <w:b/>
        </w:rPr>
        <w:t>16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49093D">
        <w:rPr>
          <w:b/>
        </w:rPr>
        <w:t>Ленинградская</w:t>
      </w:r>
      <w:r>
        <w:rPr>
          <w:b/>
        </w:rPr>
        <w:t>, д.</w:t>
      </w:r>
      <w:r w:rsidR="0049093D">
        <w:rPr>
          <w:b/>
        </w:rPr>
        <w:t>16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49093D">
        <w:rPr>
          <w:szCs w:val="24"/>
          <w:u w:val="single"/>
        </w:rPr>
        <w:t>Ленинградская</w:t>
      </w:r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16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3.Серия,тип постройки______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>
        <w:rPr>
          <w:szCs w:val="24"/>
        </w:rPr>
        <w:t xml:space="preserve"> ____</w:t>
      </w:r>
      <w:r w:rsidR="0049093D">
        <w:rPr>
          <w:szCs w:val="24"/>
        </w:rPr>
        <w:t xml:space="preserve">- 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49093D">
        <w:rPr>
          <w:szCs w:val="24"/>
        </w:rPr>
        <w:t>6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FD6522">
        <w:rPr>
          <w:szCs w:val="24"/>
        </w:rPr>
        <w:t>1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49093D">
        <w:rPr>
          <w:szCs w:val="24"/>
        </w:rPr>
        <w:t>4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49093D">
        <w:rPr>
          <w:szCs w:val="24"/>
        </w:rPr>
        <w:t>-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9093D">
        <w:rPr>
          <w:szCs w:val="24"/>
        </w:rPr>
        <w:t>171,20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49093D">
        <w:rPr>
          <w:szCs w:val="24"/>
        </w:rPr>
        <w:t>171,20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49093D">
        <w:rPr>
          <w:szCs w:val="24"/>
        </w:rPr>
        <w:t>53,9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11F66">
        <w:rPr>
          <w:szCs w:val="24"/>
        </w:rPr>
        <w:t>-</w:t>
      </w:r>
      <w:r w:rsidR="006F43C7" w:rsidRPr="002A35B3">
        <w:rPr>
          <w:szCs w:val="24"/>
        </w:rPr>
        <w:t xml:space="preserve"> 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6F43C7">
        <w:rPr>
          <w:szCs w:val="24"/>
          <w:u w:val="single"/>
        </w:rPr>
        <w:t>-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  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холодное водоснабжение,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2226B4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D240DE">
              <w:rPr>
                <w:szCs w:val="22"/>
              </w:rPr>
              <w:t>ирпичный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2226B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7E0CBD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Бревенчатые</w:t>
            </w:r>
            <w:r w:rsidR="00D240DE">
              <w:rPr>
                <w:szCs w:val="22"/>
              </w:rPr>
              <w:t xml:space="preserve"> обшиты тесом </w:t>
            </w:r>
          </w:p>
        </w:tc>
        <w:tc>
          <w:tcPr>
            <w:tcW w:w="2361" w:type="dxa"/>
          </w:tcPr>
          <w:p w:rsidR="007E0CBD" w:rsidRDefault="002226B4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1209AD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Шиферная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Default="00716E0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16E0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E61AF6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E61AF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D240D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Центральное</w:t>
            </w:r>
            <w:r w:rsidR="005F0E58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Pr="00610EB9" w:rsidRDefault="00E179E6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A65D5D" w:rsidP="00F379B8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Ступени деревянные,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  <w:r w:rsidR="007C2B9F">
              <w:rPr>
                <w:szCs w:val="22"/>
              </w:rPr>
              <w:t>, железо</w:t>
            </w:r>
          </w:p>
        </w:tc>
        <w:tc>
          <w:tcPr>
            <w:tcW w:w="2361" w:type="dxa"/>
          </w:tcPr>
          <w:p w:rsidR="00A65D5D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 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 / 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B7628A">
              <w:rPr>
                <w:b/>
              </w:rPr>
              <w:t>Ленинградская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16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102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3492,48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7907DA" w:rsidP="00887817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966A9D" w:rsidRPr="002D4427">
              <w:rPr>
                <w:szCs w:val="24"/>
              </w:rPr>
              <w:t>,</w:t>
            </w:r>
            <w:r w:rsidR="00887817">
              <w:rPr>
                <w:szCs w:val="24"/>
              </w:rPr>
              <w:t>70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102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451,97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7907DA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3451,39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46102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461026">
              <w:rPr>
                <w:szCs w:val="24"/>
              </w:rPr>
              <w:t>68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7149,31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907DA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2321,47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1972,22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966A9D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92FA0">
              <w:rPr>
                <w:szCs w:val="24"/>
              </w:rPr>
              <w:t>96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1150,46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143,81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1335,36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6265,92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</w:t>
      </w:r>
      <w:r w:rsidR="00887817">
        <w:rPr>
          <w:sz w:val="22"/>
          <w:szCs w:val="22"/>
        </w:rPr>
        <w:t>13,50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5E" w:rsidRDefault="0083395E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3395E" w:rsidRDefault="0083395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7227A9" w:rsidRDefault="007227A9">
        <w:pPr>
          <w:pStyle w:val="ab"/>
          <w:jc w:val="right"/>
        </w:pPr>
        <w:fldSimple w:instr=" PAGE   \* MERGEFORMAT ">
          <w:r w:rsidR="00E209EC">
            <w:rPr>
              <w:noProof/>
            </w:rPr>
            <w:t>4</w:t>
          </w:r>
        </w:fldSimple>
      </w:p>
    </w:sdtContent>
  </w:sdt>
  <w:p w:rsidR="007227A9" w:rsidRDefault="007227A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Default="007227A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7A9" w:rsidRDefault="007227A9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Default="007227A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09EC">
      <w:rPr>
        <w:rStyle w:val="af2"/>
        <w:noProof/>
      </w:rPr>
      <w:t>37</w:t>
    </w:r>
    <w:r>
      <w:rPr>
        <w:rStyle w:val="af2"/>
      </w:rPr>
      <w:fldChar w:fldCharType="end"/>
    </w:r>
  </w:p>
  <w:p w:rsidR="007227A9" w:rsidRDefault="007227A9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Default="007227A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09EC">
      <w:rPr>
        <w:rStyle w:val="af2"/>
        <w:noProof/>
      </w:rPr>
      <w:t>46</w:t>
    </w:r>
    <w:r>
      <w:rPr>
        <w:rStyle w:val="af2"/>
      </w:rPr>
      <w:fldChar w:fldCharType="end"/>
    </w:r>
  </w:p>
  <w:p w:rsidR="007227A9" w:rsidRDefault="007227A9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5E" w:rsidRDefault="0083395E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3395E" w:rsidRDefault="0083395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Pr="007769A5" w:rsidRDefault="007227A9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Default="007227A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7A9" w:rsidRDefault="007227A9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Default="007227A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7A9" w:rsidRDefault="007227A9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A9" w:rsidRPr="00472A12" w:rsidRDefault="007227A9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26B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93767"/>
    <w:rsid w:val="00293DB5"/>
    <w:rsid w:val="00296429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8BF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093D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395E"/>
    <w:rsid w:val="00835F8D"/>
    <w:rsid w:val="008377B8"/>
    <w:rsid w:val="00842C03"/>
    <w:rsid w:val="00844B36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35C"/>
    <w:rsid w:val="00DA4531"/>
    <w:rsid w:val="00DA49A9"/>
    <w:rsid w:val="00DB2A9E"/>
    <w:rsid w:val="00DB3FE2"/>
    <w:rsid w:val="00DB47AF"/>
    <w:rsid w:val="00DB5F65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6863-FED3-4BE1-A8D1-B1115215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46</Pages>
  <Words>17466</Words>
  <Characters>99557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238</cp:revision>
  <cp:lastPrinted>2015-08-25T13:42:00Z</cp:lastPrinted>
  <dcterms:created xsi:type="dcterms:W3CDTF">2014-04-04T13:49:00Z</dcterms:created>
  <dcterms:modified xsi:type="dcterms:W3CDTF">2015-08-25T13:42:00Z</dcterms:modified>
</cp:coreProperties>
</file>